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Управление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32"/>
          <w:szCs w:val="32"/>
        </w:rPr>
        <w:t xml:space="preserve">Заместитель начальника отдела экономического анализа ЖКХ. 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«Экономика», «Менеджмент», «Государственное и муниципальное управление», «Жилищное хозяйство и коммунальная инфраструктура», «Юриспруденция»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прогнозов социально-экономического развития края по показателям жилищно-коммунального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зяйства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пределах полномочий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реализации государственных программ, реализуемых Министерств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ом, в рамках компетенции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практической помощи органам местного самоуправления муниципальных образований по вопросам проведения и анализа хозяйстве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деятельности предприятий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организаций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жилищно-коммунального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spacing w:before="5" w:line="317" w:lineRule="exact"/>
        <w:shd w:val="clear" w:color="auto" w:fill="ffffff"/>
        <w:widowControl w:val="off"/>
        <w:tabs>
          <w:tab w:val="left" w:pos="965" w:leader="none"/>
          <w:tab w:val="left" w:pos="109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работе по приему в установленном порядке заявок, пакета документов от теплоснабжающих организаций, организаций, осуществляющих горячее водоснабжение, холодное водос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набжение и водоотведение, на получение субсидий на возмещение недополученных доходов и (или) на финансовое обеспечение (возмещение) затрат в связи с государственным регулированием тарифов, и предоставлению субсидий в установленном порядке организациям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spacing w:before="5" w:line="317" w:lineRule="exact"/>
        <w:shd w:val="clear" w:color="auto" w:fill="ffffff"/>
        <w:widowControl w:val="off"/>
        <w:tabs>
          <w:tab w:val="left" w:pos="965" w:leader="none"/>
          <w:tab w:val="left" w:pos="109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соглашений с организациями коммунальной сферы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пределах компетенции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информационных материалов, по проводимым отделом мероприятиям, отборам, конкурсам для размещения на официальном сайте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ind w:left="142" w:firstLine="567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рассмотрении и согласовании концессионных соглашений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ганизаций ЖКХ, представленных на согласование в Министерство, в пределах полномочий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мероприятий по развитию и внедрению концессионных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ханизмов управления коммунальной инфраструктуры в пределах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и предоставление на согласование (утверждение) проектов нормативных правовых актов по вопросам взаимодействия с заинтересованными исполни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тельными органами государственной власти Забайкальского края, органами местного самоуправления при согласовании проектов концессионных соглашений в отношении объектов теплоснабжения, водоснабжения и водоотведения, находящихся в муниципальной собственности;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2024-12-02T05:01:30Z</dcterms:modified>
</cp:coreProperties>
</file>